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640" w:lineRule="exact"/>
        <w:ind w:firstLine="640"/>
        <w:jc w:val="left"/>
        <w:textAlignment w:val="auto"/>
        <w:rPr>
          <w:rFonts w:hint="eastAsia" w:ascii="仿宋_GB2312" w:hAnsi="宋体" w:eastAsia="仿宋_GB2312" w:cs="宋体"/>
          <w:color w:val="000000"/>
          <w:kern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滨海新区应急管理局关于危险化学品从业单位安全生产标准化三级企业名单的通告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cs="Times New Roman"/>
          <w:sz w:val="21"/>
          <w:szCs w:val="21"/>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按照《企业安全生产标准化建设定级办法》（应急〔2021〕83号）相关规定，经企业自评、申请、评审、公示，确定天津滨海联合石化物流有限公司</w:t>
      </w:r>
      <w:r>
        <w:rPr>
          <w:rFonts w:hint="eastAsia" w:eastAsia="仿宋_GB2312" w:cs="Times New Roman"/>
          <w:sz w:val="32"/>
          <w:szCs w:val="32"/>
          <w:lang w:val="en-US" w:eastAsia="zh-CN"/>
        </w:rPr>
        <w:t>1家企业</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详情</w:t>
      </w:r>
      <w:r>
        <w:rPr>
          <w:rFonts w:hint="default" w:ascii="Times New Roman" w:hAnsi="Times New Roman" w:eastAsia="仿宋_GB2312" w:cs="Times New Roman"/>
          <w:sz w:val="32"/>
          <w:szCs w:val="32"/>
        </w:rPr>
        <w:t>见附件）为危险化学品从业单位安全生产标准化三级企业（</w:t>
      </w:r>
      <w:r>
        <w:rPr>
          <w:rFonts w:hint="eastAsia"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rPr>
        <w:t>第</w:t>
      </w:r>
      <w:r>
        <w:rPr>
          <w:rFonts w:hint="eastAsia" w:eastAsia="仿宋_GB2312" w:cs="Times New Roman"/>
          <w:sz w:val="32"/>
          <w:szCs w:val="32"/>
          <w:lang w:eastAsia="zh-CN"/>
        </w:rPr>
        <w:t>二</w:t>
      </w:r>
      <w:r>
        <w:rPr>
          <w:rFonts w:hint="default" w:ascii="Times New Roman" w:hAnsi="Times New Roman" w:eastAsia="仿宋_GB2312" w:cs="Times New Roman"/>
          <w:sz w:val="32"/>
          <w:szCs w:val="32"/>
        </w:rPr>
        <w:t>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现予以</w:t>
      </w:r>
      <w:r>
        <w:rPr>
          <w:rFonts w:hint="eastAsia" w:ascii="Times New Roman" w:hAnsi="Times New Roman" w:eastAsia="仿宋_GB2312" w:cs="Times New Roman"/>
          <w:sz w:val="32"/>
          <w:szCs w:val="32"/>
          <w:lang w:eastAsia="zh-CN"/>
        </w:rPr>
        <w:t>通</w:t>
      </w:r>
      <w:r>
        <w:rPr>
          <w:rFonts w:hint="default" w:ascii="Times New Roman" w:hAnsi="Times New Roman" w:eastAsia="仿宋_GB2312" w:cs="Times New Roman"/>
          <w:sz w:val="32"/>
          <w:szCs w:val="32"/>
        </w:rPr>
        <w:t>告，有效期自通告之日起3年。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auto"/>
        <w:rPr>
          <w:rFonts w:hint="default" w:ascii="Times New Roman" w:hAnsi="Times New Roman" w:eastAsia="仿宋_GB2312" w:cs="Times New Roman"/>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1490" w:leftChars="300" w:right="0" w:hanging="860" w:hangingChars="26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危险化学品从业单位</w:t>
      </w:r>
      <w:r>
        <w:rPr>
          <w:rFonts w:hint="default" w:ascii="Times New Roman" w:hAnsi="Times New Roman" w:eastAsia="仿宋_GB2312" w:cs="Times New Roman"/>
          <w:sz w:val="32"/>
          <w:szCs w:val="32"/>
        </w:rPr>
        <w:t>安全生产标准化</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级企业名单（</w:t>
      </w:r>
      <w:r>
        <w:rPr>
          <w:rFonts w:hint="default" w:ascii="Times New Roman" w:hAnsi="Times New Roman" w:eastAsia="仿宋_GB2312" w:cs="Times New Roman"/>
          <w:spacing w:val="0"/>
          <w:sz w:val="32"/>
          <w:szCs w:val="32"/>
          <w:shd w:val="clear" w:color="auto" w:fill="FFFFFF"/>
        </w:rPr>
        <w:t>2023年</w:t>
      </w:r>
      <w:r>
        <w:rPr>
          <w:rFonts w:hint="default" w:ascii="Times New Roman" w:hAnsi="Times New Roman" w:eastAsia="仿宋_GB2312" w:cs="Times New Roman"/>
          <w:sz w:val="32"/>
          <w:szCs w:val="32"/>
        </w:rPr>
        <w:t>第</w:t>
      </w:r>
      <w:r>
        <w:rPr>
          <w:rFonts w:hint="eastAsia" w:eastAsia="仿宋_GB2312" w:cs="Times New Roman"/>
          <w:sz w:val="32"/>
          <w:szCs w:val="32"/>
          <w:lang w:eastAsia="zh-CN"/>
        </w:rPr>
        <w:t>二</w:t>
      </w:r>
      <w:r>
        <w:rPr>
          <w:rFonts w:hint="default" w:ascii="Times New Roman" w:hAnsi="Times New Roman" w:eastAsia="仿宋_GB2312" w:cs="Times New Roman"/>
          <w:sz w:val="32"/>
          <w:szCs w:val="32"/>
        </w:rPr>
        <w:t>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auto"/>
        <w:rPr>
          <w:rFonts w:hint="default" w:ascii="Times New Roman" w:hAnsi="Times New Roman" w:eastAsia="仿宋_GB2312" w:cs="Times New Roman"/>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30" w:lineRule="exact"/>
        <w:ind w:left="0" w:right="0"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2023年</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31</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0" w:right="0" w:firstLine="640" w:firstLineChars="200"/>
        <w:textAlignment w:val="auto"/>
        <w:rPr>
          <w:rFonts w:hint="default" w:ascii="Times New Roman" w:hAnsi="Times New Roman" w:eastAsia="仿宋_GB2312" w:cs="Times New Roman"/>
          <w:sz w:val="32"/>
          <w:szCs w:val="32"/>
        </w:rPr>
        <w:sectPr>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薛垂庆</w:t>
      </w:r>
      <w:r>
        <w:rPr>
          <w:rFonts w:hint="default" w:ascii="Times New Roman" w:hAnsi="Times New Roman" w:eastAsia="仿宋_GB2312" w:cs="Times New Roman"/>
          <w:sz w:val="32"/>
          <w:szCs w:val="32"/>
        </w:rPr>
        <w:t>；电话：</w:t>
      </w:r>
      <w:r>
        <w:rPr>
          <w:rFonts w:hint="default" w:ascii="Times New Roman" w:hAnsi="Times New Roman" w:eastAsia="仿宋_GB2312" w:cs="Times New Roman"/>
          <w:sz w:val="32"/>
          <w:szCs w:val="32"/>
          <w:lang w:val="en"/>
        </w:rPr>
        <w:t>022-</w:t>
      </w:r>
      <w:r>
        <w:rPr>
          <w:rFonts w:hint="default" w:ascii="Times New Roman" w:hAnsi="Times New Roman" w:eastAsia="仿宋_GB2312" w:cs="Times New Roman"/>
          <w:spacing w:val="0"/>
          <w:sz w:val="32"/>
          <w:szCs w:val="32"/>
          <w:shd w:val="clear" w:color="auto" w:fill="FFFFFF"/>
          <w:lang w:val="en-US" w:eastAsia="zh-CN"/>
        </w:rPr>
        <w:t>65305642</w:t>
      </w:r>
      <w:r>
        <w:rPr>
          <w:rFonts w:hint="default" w:ascii="Times New Roman" w:hAnsi="Times New Roman" w:eastAsia="仿宋_GB2312" w:cs="Times New Roman"/>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right="0"/>
        <w:textAlignment w:val="auto"/>
        <w:rPr>
          <w:rFonts w:hint="default" w:ascii="Times New Roman" w:hAnsi="Times New Roman" w:cs="Times New Roman"/>
          <w:sz w:val="32"/>
          <w:szCs w:val="32"/>
        </w:rPr>
      </w:pPr>
      <w:r>
        <w:rPr>
          <w:rFonts w:hint="eastAsia" w:ascii="黑体" w:hAnsi="宋体" w:eastAsia="黑体" w:cs="黑体"/>
          <w:sz w:val="32"/>
          <w:szCs w:val="32"/>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危险化学品从业单位</w:t>
      </w:r>
      <w:r>
        <w:rPr>
          <w:rFonts w:hint="eastAsia" w:ascii="方正小标宋简体" w:hAnsi="方正小标宋简体" w:eastAsia="方正小标宋简体" w:cs="方正小标宋简体"/>
          <w:sz w:val="44"/>
          <w:szCs w:val="44"/>
        </w:rPr>
        <w:t>安全生产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outlineLvl w:val="0"/>
        <w:rPr>
          <w:rFonts w:hint="default" w:ascii="Times New Roman" w:hAnsi="Times New Roman" w:cs="Times New Roman"/>
          <w:sz w:val="44"/>
          <w:szCs w:val="44"/>
        </w:rPr>
      </w:pPr>
      <w:r>
        <w:rPr>
          <w:rFonts w:hint="eastAsia" w:ascii="方正小标宋简体" w:hAnsi="方正小标宋简体" w:eastAsia="方正小标宋简体" w:cs="方正小标宋简体"/>
          <w:sz w:val="44"/>
          <w:szCs w:val="44"/>
        </w:rPr>
        <w:t>标准化</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级企业名单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（2023年第</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default" w:ascii="方正小标宋_GBK" w:hAnsi="方正小标宋_GBK" w:eastAsia="方正小标宋_GBK" w:cs="方正小标宋_GBK"/>
          <w:sz w:val="32"/>
          <w:szCs w:val="32"/>
        </w:rPr>
      </w:pPr>
    </w:p>
    <w:tbl>
      <w:tblPr>
        <w:tblStyle w:val="9"/>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930"/>
        <w:gridCol w:w="5865"/>
        <w:gridCol w:w="17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3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eastAsia" w:ascii="黑体" w:hAnsi="黑体" w:eastAsia="黑体" w:cs="黑体"/>
                <w:sz w:val="32"/>
                <w:szCs w:val="32"/>
              </w:rPr>
            </w:pPr>
            <w:r>
              <w:rPr>
                <w:rFonts w:hint="eastAsia" w:ascii="黑体" w:hAnsi="黑体" w:eastAsia="黑体" w:cs="黑体"/>
                <w:spacing w:val="0"/>
                <w:sz w:val="32"/>
                <w:szCs w:val="32"/>
                <w:shd w:val="clear" w:color="auto" w:fill="FFFFFF"/>
              </w:rPr>
              <w:t>序号</w:t>
            </w:r>
          </w:p>
        </w:tc>
        <w:tc>
          <w:tcPr>
            <w:tcW w:w="5865" w:type="dxa"/>
            <w:tcBorders>
              <w:top w:val="single" w:color="000000" w:sz="6" w:space="0"/>
              <w:left w:val="nil"/>
              <w:bottom w:val="single" w:color="000000" w:sz="6" w:space="0"/>
              <w:right w:val="single" w:color="000000" w:sz="6" w:space="0"/>
            </w:tcBorders>
            <w:noWrap w:val="0"/>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eastAsia" w:ascii="黑体" w:hAnsi="黑体" w:eastAsia="黑体" w:cs="黑体"/>
                <w:sz w:val="32"/>
                <w:szCs w:val="32"/>
              </w:rPr>
            </w:pPr>
            <w:r>
              <w:rPr>
                <w:rFonts w:hint="eastAsia" w:ascii="黑体" w:hAnsi="黑体" w:eastAsia="黑体" w:cs="黑体"/>
                <w:spacing w:val="0"/>
                <w:sz w:val="32"/>
                <w:szCs w:val="32"/>
                <w:shd w:val="clear" w:color="auto" w:fill="FFFFFF"/>
              </w:rPr>
              <w:t>企业名称</w:t>
            </w:r>
          </w:p>
        </w:tc>
        <w:tc>
          <w:tcPr>
            <w:tcW w:w="1725" w:type="dxa"/>
            <w:tcBorders>
              <w:top w:val="single" w:color="000000" w:sz="6" w:space="0"/>
              <w:left w:val="nil"/>
              <w:bottom w:val="single" w:color="000000" w:sz="6" w:space="0"/>
              <w:right w:val="single" w:color="000000" w:sz="6" w:space="0"/>
            </w:tcBorders>
            <w:noWrap w:val="0"/>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eastAsia" w:ascii="黑体" w:hAnsi="黑体" w:eastAsia="黑体" w:cs="黑体"/>
                <w:sz w:val="32"/>
                <w:szCs w:val="32"/>
              </w:rPr>
            </w:pPr>
            <w:r>
              <w:rPr>
                <w:rFonts w:hint="eastAsia" w:ascii="黑体" w:hAnsi="黑体" w:eastAsia="黑体" w:cs="黑体"/>
                <w:spacing w:val="0"/>
                <w:sz w:val="32"/>
                <w:szCs w:val="32"/>
                <w:shd w:val="clear" w:color="auto" w:fill="FFFFFF"/>
              </w:rPr>
              <w:t>行业类型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30" w:type="dxa"/>
            <w:tcBorders>
              <w:top w:val="nil"/>
              <w:left w:val="single" w:color="auto" w:sz="6" w:space="0"/>
              <w:bottom w:val="single" w:color="000000" w:sz="6" w:space="0"/>
              <w:right w:val="single" w:color="auto" w:sz="6" w:space="0"/>
            </w:tcBorders>
            <w:noWrap w:val="0"/>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shd w:val="clear" w:color="auto" w:fill="FFFFFF"/>
              </w:rPr>
              <w:t>1</w:t>
            </w:r>
          </w:p>
        </w:tc>
        <w:tc>
          <w:tcPr>
            <w:tcW w:w="5865" w:type="dxa"/>
            <w:tcBorders>
              <w:top w:val="single" w:color="000000" w:sz="6" w:space="0"/>
              <w:left w:val="nil"/>
              <w:bottom w:val="single" w:color="000000" w:sz="6" w:space="0"/>
              <w:right w:val="single" w:color="000000" w:sz="6" w:space="0"/>
            </w:tcBorders>
            <w:noWrap w:val="0"/>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shd w:val="clear" w:color="auto" w:fill="FFFFFF"/>
              </w:rPr>
              <w:t>天津滨海联合石化物流有限公司</w:t>
            </w:r>
          </w:p>
        </w:tc>
        <w:tc>
          <w:tcPr>
            <w:tcW w:w="1725" w:type="dxa"/>
            <w:tcBorders>
              <w:top w:val="single" w:color="000000" w:sz="6" w:space="0"/>
              <w:left w:val="nil"/>
              <w:bottom w:val="single" w:color="000000" w:sz="6" w:space="0"/>
              <w:right w:val="single" w:color="000000" w:sz="6" w:space="0"/>
            </w:tcBorders>
            <w:noWrap w:val="0"/>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shd w:val="clear" w:color="auto" w:fill="FFFFFF"/>
              </w:rPr>
              <w:t>危化</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32"/>
          <w:szCs w:val="32"/>
        </w:rPr>
      </w:pPr>
      <w:bookmarkStart w:id="0" w:name="_GoBack"/>
      <w:bookmarkEnd w:id="0"/>
    </w:p>
    <w:sectPr>
      <w:footerReference r:id="rId3" w:type="default"/>
      <w:footerReference r:id="rId4" w:type="even"/>
      <w:pgSz w:w="11906" w:h="16838"/>
      <w:pgMar w:top="2098" w:right="1474" w:bottom="1985" w:left="1588" w:header="851" w:footer="1418" w:gutter="0"/>
      <w:pgBorders>
        <w:top w:val="none" w:sz="0" w:space="0"/>
        <w:left w:val="none" w:sz="0" w:space="0"/>
        <w:bottom w:val="none" w:sz="0" w:space="0"/>
        <w:right w:val="none" w:sz="0" w:space="0"/>
      </w:pgBorders>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Arial Unicode MS">
    <w:altName w:val="Times New Roman"/>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953"/>
    <w:rsid w:val="00072C11"/>
    <w:rsid w:val="001529E0"/>
    <w:rsid w:val="001B29B7"/>
    <w:rsid w:val="0021013E"/>
    <w:rsid w:val="0021439C"/>
    <w:rsid w:val="00277605"/>
    <w:rsid w:val="002B2069"/>
    <w:rsid w:val="002C00B7"/>
    <w:rsid w:val="003C3C26"/>
    <w:rsid w:val="00480DBD"/>
    <w:rsid w:val="005435EB"/>
    <w:rsid w:val="00555596"/>
    <w:rsid w:val="00652849"/>
    <w:rsid w:val="006E033B"/>
    <w:rsid w:val="00742EAA"/>
    <w:rsid w:val="00771395"/>
    <w:rsid w:val="00886292"/>
    <w:rsid w:val="008C16D0"/>
    <w:rsid w:val="0096674F"/>
    <w:rsid w:val="009C7796"/>
    <w:rsid w:val="00AF5B52"/>
    <w:rsid w:val="00B5540C"/>
    <w:rsid w:val="00B814C4"/>
    <w:rsid w:val="00B97988"/>
    <w:rsid w:val="00CA153A"/>
    <w:rsid w:val="00D0243A"/>
    <w:rsid w:val="00D03529"/>
    <w:rsid w:val="00D313C8"/>
    <w:rsid w:val="00F958C3"/>
    <w:rsid w:val="00FB6772"/>
    <w:rsid w:val="3FBF114C"/>
    <w:rsid w:val="5E8FB2F5"/>
    <w:rsid w:val="5FBFD39B"/>
    <w:rsid w:val="7BBB1658"/>
    <w:rsid w:val="9BE70402"/>
    <w:rsid w:val="AFBDBA81"/>
    <w:rsid w:val="BFFD9C13"/>
    <w:rsid w:val="CFBFEA26"/>
    <w:rsid w:val="D79E9E5D"/>
    <w:rsid w:val="DA0FA4A1"/>
    <w:rsid w:val="DAB29BC6"/>
    <w:rsid w:val="DDFFC216"/>
    <w:rsid w:val="F7FA26D6"/>
    <w:rsid w:val="FF5EB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lang w:val="zh-CN" w:eastAsia="zh-CN"/>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Title"/>
    <w:basedOn w:val="1"/>
    <w:next w:val="1"/>
    <w:link w:val="17"/>
    <w:qFormat/>
    <w:uiPriority w:val="0"/>
    <w:pPr>
      <w:spacing w:before="240" w:after="60"/>
      <w:jc w:val="center"/>
      <w:outlineLvl w:val="0"/>
    </w:pPr>
    <w:rPr>
      <w:rFonts w:ascii="Cambria" w:hAnsi="Cambria"/>
      <w:b/>
      <w:bCs/>
      <w:sz w:val="32"/>
      <w:szCs w:val="32"/>
      <w:lang w:val="zh-CN" w:eastAsia="zh-CN"/>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已访问的超链接1"/>
    <w:qFormat/>
    <w:uiPriority w:val="0"/>
    <w:rPr>
      <w:color w:val="800080"/>
      <w:u w:val="single"/>
    </w:rPr>
  </w:style>
  <w:style w:type="paragraph" w:customStyle="1" w:styleId="14">
    <w:name w:val="_Style 2"/>
    <w:basedOn w:val="1"/>
    <w:qFormat/>
    <w:uiPriority w:val="0"/>
  </w:style>
  <w:style w:type="paragraph" w:customStyle="1" w:styleId="15">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6">
    <w:name w:val="默认段落字体 Para Char Char Char Char Char Char Char"/>
    <w:basedOn w:val="1"/>
    <w:qFormat/>
    <w:uiPriority w:val="0"/>
    <w:rPr>
      <w:rFonts w:ascii="Tahoma" w:hAnsi="Tahoma"/>
      <w:sz w:val="24"/>
      <w:szCs w:val="20"/>
    </w:rPr>
  </w:style>
  <w:style w:type="character" w:customStyle="1" w:styleId="17">
    <w:name w:val="标题 Char"/>
    <w:link w:val="8"/>
    <w:qFormat/>
    <w:uiPriority w:val="0"/>
    <w:rPr>
      <w:rFonts w:ascii="Cambria" w:hAnsi="Cambria"/>
      <w:b/>
      <w:bCs/>
      <w:kern w:val="2"/>
      <w:sz w:val="32"/>
      <w:szCs w:val="32"/>
      <w:lang w:val="zh-CN" w:eastAsia="zh-CN"/>
    </w:rPr>
  </w:style>
  <w:style w:type="character" w:customStyle="1" w:styleId="18">
    <w:name w:val="页脚 Char"/>
    <w:link w:val="5"/>
    <w:qFormat/>
    <w:uiPriority w:val="99"/>
    <w:rPr>
      <w:kern w:val="2"/>
      <w:sz w:val="18"/>
      <w:szCs w:val="18"/>
    </w:rPr>
  </w:style>
  <w:style w:type="character" w:customStyle="1" w:styleId="19">
    <w:name w:val="Hei Ti"/>
    <w:qFormat/>
    <w:uiPriority w:val="0"/>
    <w:rPr>
      <w:rFonts w:ascii="黑体" w:hAnsi="黑体" w:eastAsia="黑体" w:cs="黑体"/>
      <w:sz w:val="32"/>
    </w:rPr>
  </w:style>
  <w:style w:type="character" w:customStyle="1" w:styleId="20">
    <w:name w:val="Hei Ti Bold"/>
    <w:qFormat/>
    <w:uiPriority w:val="0"/>
    <w:rPr>
      <w:rFonts w:ascii="黑体" w:hAnsi="黑体" w:eastAsia="黑体" w:cs="黑体"/>
      <w:b/>
      <w:sz w:val="32"/>
    </w:rPr>
  </w:style>
  <w:style w:type="character" w:customStyle="1" w:styleId="21">
    <w:name w:val="Hei Ti Bold1"/>
    <w:qFormat/>
    <w:uiPriority w:val="0"/>
    <w:rPr>
      <w:rFonts w:ascii="黑体" w:hAnsi="黑体" w:eastAsia="黑体" w:cs="黑体"/>
      <w:b/>
      <w:sz w:val="36"/>
    </w:rPr>
  </w:style>
  <w:style w:type="character" w:customStyle="1" w:styleId="22">
    <w:name w:val="GB_2312"/>
    <w:qFormat/>
    <w:uiPriority w:val="0"/>
    <w:rPr>
      <w:rFonts w:ascii="仿宋_GB2312" w:hAnsi="仿宋_GB2312" w:eastAsia="仿宋_GB2312" w:cs="仿宋_GB2312"/>
      <w:sz w:val="32"/>
    </w:rPr>
  </w:style>
  <w:style w:type="character" w:customStyle="1" w:styleId="23">
    <w:name w:val="GB_23121"/>
    <w:qFormat/>
    <w:uiPriority w:val="0"/>
    <w:rPr>
      <w:rFonts w:ascii="仿宋_GB2312" w:hAnsi="仿宋_GB2312" w:eastAsia="仿宋_GB2312" w:cs="仿宋_GB2312"/>
      <w:sz w:val="36"/>
    </w:rPr>
  </w:style>
  <w:style w:type="character" w:customStyle="1" w:styleId="24">
    <w:name w:val="Red_Color"/>
    <w:qFormat/>
    <w:uiPriority w:val="0"/>
    <w:rPr>
      <w:rFonts w:ascii="方正小标宋简体" w:hAnsi="方正小标宋简体" w:eastAsia="方正小标宋简体" w:cs="方正小标宋简体"/>
      <w:color w:val="000000"/>
      <w:sz w:val="65"/>
    </w:rPr>
  </w:style>
  <w:style w:type="character" w:customStyle="1" w:styleId="25">
    <w:name w:val="KaiTi"/>
    <w:qFormat/>
    <w:uiPriority w:val="0"/>
    <w:rPr>
      <w:rFonts w:ascii="楷体_GB2312" w:hAnsi="楷体_GB2312" w:eastAsia="楷体_GB2312" w:cs="楷体_GB2312"/>
      <w:sz w:val="32"/>
    </w:rPr>
  </w:style>
  <w:style w:type="character" w:customStyle="1" w:styleId="26">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10</Words>
  <Characters>63</Characters>
  <Lines>1</Lines>
  <Paragraphs>1</Paragraphs>
  <TotalTime>24</TotalTime>
  <ScaleCrop>false</ScaleCrop>
  <LinksUpToDate>false</LinksUpToDate>
  <CharactersWithSpaces>72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2020-10-22T09:22:00Z</dcterms:created>
  <dc:creator>张殿武</dc:creator>
  <cp:lastModifiedBy>kylin</cp:lastModifiedBy>
  <cp:lastPrinted>2023-08-16T23:54:00Z</cp:lastPrinted>
  <dcterms:modified xsi:type="dcterms:W3CDTF">2023-10-31T13:48:23Z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