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460" w:lineRule="exact"/>
        <w:jc w:val="left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滨海新区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应急管理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工作要点的通知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局机关各室，执法监察大队，各开发区、各街镇应急管理机构：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现将《滨海新区应急管理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工作要点》印发给你们，请结合实际，认真遵照执行。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（联系人：白连东，联系电话：</w:t>
      </w:r>
      <w:r>
        <w:rPr>
          <w:rFonts w:hint="eastAsia" w:eastAsia="仿宋_GB2312"/>
          <w:color w:val="000000"/>
          <w:sz w:val="32"/>
          <w:szCs w:val="32"/>
        </w:rPr>
        <w:t>65305612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（此件主动公开）</w:t>
      </w:r>
    </w:p>
    <w:p>
      <w:pP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</w:pPr>
    </w:p>
    <w:p>
      <w:pPr>
        <w:jc w:val="center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滨海新区应急管理局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年工作要点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系统的总体要求是：坚持以习近平新时代中国特色社会主义思想为指导，全面贯彻党的十九大和十九届历次全会精神，深入贯彻落实习近平总书记关于安全生产、应急管理、防灾减灾救灾的系列重要指示批示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以迎接党的二十大为主线，组织开展“迎盛会、铸忠诚、强担当、创业绩”主题学习宣传教育实践活动，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“理直气壮，标本兼治，从严从实，责任到人，守住底线”要求，深入推进应急管理体系和能力现代化，全力防范化解重大安全风险，坚决遏制重特大生产安全事故，打造忠诚、干净、担当的应急管理队伍，以高水平安全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“滨城”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高质量发展，以优异成绩迎接党的二十大胜利召开。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一、旗帜鲜明讲政治，坚决做到“两个维护”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贯彻落实党的十九届六中全会精神。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始终坚定“政治”这个总航标，进一步巩固党史学习教育成果，持续用党的奋斗历程和伟大成就教育引导党员干部牢记初心使命、坚定理想信念，把讲政治贯彻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各方面、全过程，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坚定捍卫“两个确立”，坚决做到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“两个维护”。（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党建室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牵头，各室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按职责分工负责）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坚持政治建设统领。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实施培根铸魂工程，深入学习习近平新时代中国特色社会主义思想，引导党员干部把对马克思主义的信仰作为毕生追求，打牢高举旗帜、听党指挥思想根基。落实双重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，教育引导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党员干部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增强事业心和责任感，真正做到为党分忧、为国尽责、为民奉献。创新推进政治工作，将政治工作融入业务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全过程，为履行职责使命提供有力保证。进一步加强对一把手和领导班子监督，加强党风廉政建设，推进全面从严治党向纵深发展。（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党建室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牵头，各室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坚决守牢首都政治“护城河”与安全“护城河”。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组织落实《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滨海新区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应急管理“十四五”规划》，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分解目标任务，制定分工方案，全力推动落实。深化京津冀风险联防联控联治，会同市港航、海事等部门，严防严控5大类安全风险，全面提升生产安全事故防范、自然灾害防治和应急处置能力，坚决防范较大及以上生产安全事故和社会影响较大事件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。（协调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室和规划科技室牵头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，各室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二、健全风险动态研判机制，提升监测预警能力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健全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风险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研判机制。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好“研判”先手棋，见微知著、未雨绸缪，从倾向性、苗头性问题中发现风险端倪。加强常态化风险研判，及时研判生产安全形势，动态分析灾害天气趋势和安全生产苗头性问题，识别早期风险隐患，超前预测预警预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针对性落实防范措施。（灾害救援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指挥中心、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协调室、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危化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、火防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执法大队、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救灾保障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、调查统计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提高预警预报处置能力。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建设危险化学品安全生产风险监测预警系统，协调配合优化自然灾害监测站点布局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健全风险隐患报送体系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鼓励群众发现报告身边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网格员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和信息员等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“第一响应人”机制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。强化值班调度，及时通报气象、汛情、林火等情况，定期发布监测预警信息，督促落实防范措施。（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规划科技室、应急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指挥中心、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危化室、灾害救援室、物资保障室、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火防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室、办公室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三、着力防范化解重大安全风险，有效根治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安全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隐患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加强责任体系建设。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制定区级党政领导安全生产“职责清单”和年度“工作清单”。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强化安委办统筹协调机制建设，用好约谈、通报、督查、组团服务四个手段。强化“三管三必须”责任机制建设，进一步优化部门责任制考核，以“重大安全生产问题清单”为抓手，迭代完善新区—开发区—镇街三级问题常态发现、动态管控、闭环整改工作机制，推动各级党委在解决重大安全问题中发挥关键性作用。构建压实企业安全主体责任长效机制，研究制定相关政策文件，加大企业违法行为曝光力度，及时开展信用联合惩戒。（协调室、规划科技室牵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高标准推进安全生产专项整治三年行动。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对照“两个根本”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深入查找企业和政府层面存在的体制机制、法规制度、基层基础等方面突出问题，深入研判症结难点，形成切实可行的制度成果。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发挥两个专题引领作用，组织区委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区政府领导班子学习习近平总书记关于安全生产重要论述精神，持续开展“领导干部讲安全”活动。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督促消防、城市建设、交通运输、仓储物流、工业园区等重点领域按照“三年行动”目标任务要求，落实针对性举措，形成重点行业点、圈、面三层安全防控体系。（协调室牵头，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狠抓危险化学品和燃气安全等专项整治。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做好危险化学品集中治理，聚焦我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危险化学品领域重点难点，从强化统筹协调和监管责任落实、提升本质安全水平等方面抓好重点治理措施落实。严格落实全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城镇燃气排查整治方案，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发挥统筹协调作用，督促盯住企业、场所、小区、工程、管网、气瓶、器具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用户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8个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重点环节，开展集中整治工作，从快从严排查燃气安全隐患。持续开展金属冶炼、涉爆粉尘、有限空间等重点行业领域专项整治。（危化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、协调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推动重点行业领域开展专项整治。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充分发挥区安委办“牵头抓总”作用，协调推动重点行业领域开展专项整治。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集中隔离点方面，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将集中隔离点和防护场所建设项目作为排查整治工作的重中之重，严查涉疫场所事故隐患。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消防方面，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深入排查整治学校医院、宾馆饭店、大型商贸综合体、人员密集场所、“三合一”场所、群租房、老旧住宅、社会福利机构、“密室逃脱”等娱乐场所、“飞地”棚户区、新能源领域企业等重点区域消防安全隐患，严肃查处电动自行车违规停放充电等问题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建筑施工方面，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将地铁施工和“高大难深”项目作为排查整治重点，严格管控起重机械、深基坑、高支模、脚手架等危险性较大的分部分项工程；督促参建各方严格落实“八个一律”工作措施，防范地下管线遭外力破坏事故发生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交通运输方面，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聚焦铁路、公路、轨道交通、机场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港口等交通枢纽，紧盯长途客运车、危险品运输车、校车、重型载货汽车等车辆，严打严罚“三超一疲劳”、车辆擅自改装、无资质营运等行为，严防道路交通事故发生。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油气管线方面，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加大对油气长输管道企业监管力度，整治管道周边乱钻乱挖问题，从严从重打击先清后占、盲目施工、打孔盗油等破坏损害油气长输管道及其附属设施、危及管道安全运行的乱建乱挖乱钻非法违法行为，确保能源供应安全。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特种设备方面，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将大型游乐设施、供热锅炉、人员密集场所电梯、供油供气管线作为排查重点，严厉查处未办理使用登记、未经检验、超期未检、未定期维护保养等违法违规行为。（协调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牵头，各室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按照职责分工负责）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严厉打击非法违法行为。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严格落实“隐患就是事故，事故就要处理”和“四铁”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持续加大非法违法行为处罚力度，做好安全生产行刑衔接工作，持续保持高压态势。严格事故调查处理，严厉追责问责。坚持安全生产执法情况、行政处罚典型案例“两个通报”，推动基层提高执法效能，强化对违法行为的曝光和警示。加强安全评价机构日常监管，开展安全评价机构资质换证评审，提升安全评价服务水平。（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科技室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调查统计室、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危化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火防室、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、坚持救民助民，扎实做好防灾减灾救灾工作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防范自然灾害重大风险。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自然灾害综合风险普查，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积极推动普查成果应用，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为综合防灾减灾提供有力支撑。持续跟进推动“九大工程”重点项目，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加大统筹协调和组织推动力度，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做好重大项目督办和推动。全面提升防汛减灾能力，深化风险隐患整改，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逐一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轨道交通、下沉地道、下穿立交桥、地下隧道、危陋房屋、险工险段等重点部位牵头部门、责任人、应急预案、启动机制等内容，确保安全度汛。继续推动应急避难场所建设。加强森林火险排查整治，开展野外火源专项治理和打击森林违规用火行为专项行动，严格控制野外火源。总结分析灾害事故应对经验教训，采取有力措施统筹抵御处置各类灾害事故。（救灾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、灾害救援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、火防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、提升应急救援处置能力，有效应对突发事件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楷体_GB2312" w:eastAsia="楷体_GB2312"/>
          <w:color w:val="000000"/>
          <w:sz w:val="32"/>
          <w:szCs w:val="32"/>
        </w:rPr>
        <w:t>深入推进应急预案体系建设。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加快推进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级专项应急预案修订印发，组织指导基层开展应急预案试点建设工作，推动街镇和社区（村）基层应急预案规范化建设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完成区级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森林火灾应急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预案编制工作。聚焦城市安全风险，组织开展综合性应急实战演练。持续加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强23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类专业应急救援队伍的动态管理，鼓励引导社会应急力量不断提高队伍实战水平。推进基层应急指挥体系建设，指导健全街镇和社区（村）应急管理体系、应急指挥体系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应急协调联动机制，提升基层应对突发事件能力。（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预案室、火防室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楷体_GB2312" w:eastAsia="楷体_GB2312"/>
          <w:color w:val="000000"/>
          <w:sz w:val="32"/>
          <w:szCs w:val="32"/>
        </w:rPr>
        <w:t>健全完善应急指挥体系。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深化区域、部门、军地、社会力量间应急联动建设，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健全“海陆空”三大应急</w:t>
      </w:r>
      <w:r>
        <w:rPr>
          <w:rFonts w:hint="eastAsia" w:ascii="仿宋_GB2312" w:eastAsia="仿宋_GB2312"/>
          <w:color w:val="000000"/>
          <w:sz w:val="32"/>
          <w:szCs w:val="32"/>
        </w:rPr>
        <w:t>联动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color w:val="000000"/>
          <w:sz w:val="32"/>
          <w:szCs w:val="32"/>
        </w:rPr>
        <w:t>。严格落实值班报告制度，规范信息报送。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推动值班值守专业化、规范化，运用信息化手段完善应对自然灾害、事故灾难突发事件的指挥调度程序，建立健全信息报送和督办通报机制，提升全系统应急意识和应急响应能力。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深挖优选、整合吸纳</w:t>
      </w:r>
      <w:r>
        <w:rPr>
          <w:rFonts w:hint="eastAsia" w:ascii="仿宋_GB2312" w:eastAsia="仿宋_GB2312"/>
          <w:color w:val="000000"/>
          <w:sz w:val="32"/>
          <w:szCs w:val="32"/>
        </w:rPr>
        <w:t>各类企事业单位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中有救援能力的队伍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引导救援能力较强的社会应急力量有序参与应急救援处置工作。</w:t>
      </w:r>
      <w:r>
        <w:rPr>
          <w:rFonts w:hint="eastAsia" w:ascii="仿宋_GB2312" w:eastAsia="仿宋_GB2312"/>
          <w:color w:val="000000"/>
          <w:sz w:val="32"/>
          <w:szCs w:val="32"/>
        </w:rPr>
        <w:t>组织开展情景演练、桌面推演、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应急救援队伍骨干培训，</w:t>
      </w:r>
      <w:r>
        <w:rPr>
          <w:rFonts w:hint="eastAsia" w:ascii="仿宋_GB2312" w:eastAsia="仿宋_GB2312"/>
          <w:color w:val="000000"/>
          <w:sz w:val="32"/>
          <w:szCs w:val="32"/>
        </w:rPr>
        <w:t>提升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处置水平和实战能力。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（责任部门：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应急指挥中心、预案室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、夯实应急管理基础，提升保障能力水平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加强法治化建设。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贯彻落实习近平法治思想，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应急管理法律标准体系。根据安全生产分类分级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监管要求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年执法计划，持续加大执法检查力度。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年天津市应急管理地方标准征集工作。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失信主体重点监管和信用信息共享。（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规划科技室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牵头，各室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深化信息化成果应用。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积极推进应急管理信息化项目建设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深化拓展“智慧应急”，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快推进智慧安全城市滨海新区大应急融合平台特许经营项目建设。依托京津冀产业协同与智慧城市建设，升级、改造完善应急指挥业务系统。进一步推动隐患排查治理系统推广应用，完善线上线下配套监管制度，督促企业实现自查自改自报闭环管理。推动指导重大危险源点位监测数据接入，完善重大危险源监测报警技战指标。配合市局完成“雁阵行动”样板城区建设，推动安全生产、自然灾害、指挥救援、政务服务等应用系统上线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规划科技室、应急指挥中心、危化室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提升物资资金保障能力。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健全完善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救灾物资分级储备指引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做好全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应急物资数据更新和管理。加强安全生产专项资金使用管理，发挥专项资金服务保障效能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强化业务经费保障。（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救灾保障室、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灾害救援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、规划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科技室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按照职责分工负责）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开展科普宣传教育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以安全宣传“五进”为抓手，加强应急宣传媒体矩阵建设，强化与媒体的共建合作，持续做好应急管理宣传。组织开展好安全生产月、“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5·12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”防灾减灾宣传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等主题宣教活动，抓住重点时段，突出重点人群，开展精准化应急管理科普教育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放大安全体验馆宣教集群效应。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组织开展全国综合减灾示范社区创建，夯实防灾减灾救灾基础。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（办公室、灾害救援室、物资保障室按照职责分工负责）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深化应急管理体制改革。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级应急管理综合行政执法队伍组建，不断强化应急管理综合行政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能力。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坚持正确选人用人导向，加大优秀年轻干部选拔培养力度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，优化干部队伍结构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加强干部培养历练，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交流，培养一批综合素质突出的中坚力量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配齐配强应急管理专家库专家队伍，严格库内专家使用管理，充分发挥专家智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力支撑作用。（党建室牵头，各室、执法大队按照职责分工负责）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hd w:val="clear" w:color="auto" w:fill="FFFFFF"/>
        <w:spacing w:line="574" w:lineRule="exact"/>
        <w:jc w:val="lef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hd w:val="clear" w:color="auto" w:fill="FFFFFF"/>
        <w:spacing w:line="574" w:lineRule="exact"/>
        <w:jc w:val="left"/>
        <w:rPr>
          <w:rFonts w:eastAsia="黑体"/>
          <w:sz w:val="32"/>
          <w:szCs w:val="32"/>
        </w:rPr>
      </w:pPr>
    </w:p>
    <w:p>
      <w:pPr>
        <w:shd w:val="clear" w:color="auto" w:fill="FFFFFF"/>
        <w:spacing w:line="574" w:lineRule="exact"/>
        <w:jc w:val="left"/>
        <w:rPr>
          <w:rFonts w:eastAsia="黑体"/>
          <w:sz w:val="32"/>
          <w:szCs w:val="32"/>
        </w:rPr>
      </w:pPr>
    </w:p>
    <w:p>
      <w:pPr>
        <w:ind w:firstLine="160" w:firstLineChars="50"/>
        <w:jc w:val="center"/>
        <w:rPr>
          <w:rFonts w:hint="eastAsia" w:eastAsia="仿宋_GB2312"/>
          <w:sz w:val="32"/>
          <w:szCs w:val="3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</w:p>
    <w:p>
      <w:pPr>
        <w:ind w:firstLine="105" w:firstLineChars="50"/>
        <w:jc w:val="center"/>
        <w:rPr>
          <w:rFonts w:eastAsia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ascii="仿宋_GB2312" w:eastAsia="仿宋_GB2312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仿宋_GB2312" w:eastAsia="仿宋_GB2312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21E"/>
    <w:rsid w:val="000C186A"/>
    <w:rsid w:val="001B71F9"/>
    <w:rsid w:val="001C5A98"/>
    <w:rsid w:val="00274327"/>
    <w:rsid w:val="0032452C"/>
    <w:rsid w:val="00360DB4"/>
    <w:rsid w:val="00400350"/>
    <w:rsid w:val="00407426"/>
    <w:rsid w:val="00426A5F"/>
    <w:rsid w:val="004319FC"/>
    <w:rsid w:val="004D5678"/>
    <w:rsid w:val="0059507E"/>
    <w:rsid w:val="005C0B08"/>
    <w:rsid w:val="005E45B5"/>
    <w:rsid w:val="00624501"/>
    <w:rsid w:val="007D3FDD"/>
    <w:rsid w:val="00822865"/>
    <w:rsid w:val="0089733D"/>
    <w:rsid w:val="00913018"/>
    <w:rsid w:val="009D68E0"/>
    <w:rsid w:val="00AB348F"/>
    <w:rsid w:val="00D05755"/>
    <w:rsid w:val="00D45AE7"/>
    <w:rsid w:val="00D924FF"/>
    <w:rsid w:val="00D92DE8"/>
    <w:rsid w:val="00E20EEE"/>
    <w:rsid w:val="00E520EB"/>
    <w:rsid w:val="00E7481C"/>
    <w:rsid w:val="00F13DD5"/>
    <w:rsid w:val="00F81841"/>
    <w:rsid w:val="00F81866"/>
    <w:rsid w:val="3F3BB955"/>
    <w:rsid w:val="BFBA1B70"/>
    <w:rsid w:val="DDFF537E"/>
    <w:rsid w:val="FCB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已访问的超链接1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8">
    <w:name w:val="标题 Char"/>
    <w:link w:val="8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customStyle="1" w:styleId="19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89</Characters>
  <Lines>1</Lines>
  <Paragraphs>1</Paragraphs>
  <TotalTime>3</TotalTime>
  <ScaleCrop>false</ScaleCrop>
  <LinksUpToDate>false</LinksUpToDate>
  <CharactersWithSpaces>103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2020-10-20T09:12:00Z</dcterms:created>
  <dc:creator>张殿武</dc:creator>
  <cp:lastModifiedBy>kylin</cp:lastModifiedBy>
  <cp:lastPrinted>2014-07-04T12:32:00Z</cp:lastPrinted>
  <dcterms:modified xsi:type="dcterms:W3CDTF">2022-04-06T14:14:03Z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