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580" w:lineRule="exact"/>
        <w:jc w:val="center"/>
        <w:rPr>
          <w:rFonts w:hint="eastAsia" w:ascii="仿宋_GB2312" w:hAnsi="华文中宋" w:eastAsia="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滨海新区应急管理局关于危险化学品从业单位安全生产标准化三级企业名单的通告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按照《企业安全生产标准化建设定级办法》（应急〔2021〕83号）相关规定，经企业自评、申请、评审、公示，确定</w:t>
      </w:r>
      <w:r>
        <w:rPr>
          <w:rFonts w:hint="eastAsia" w:ascii="Times New Roman" w:hAnsi="Times New Roman" w:eastAsia="仿宋_GB2312" w:cs="Times New Roman"/>
          <w:sz w:val="32"/>
          <w:szCs w:val="32"/>
          <w:lang w:val="en-US" w:eastAsia="zh-CN"/>
        </w:rPr>
        <w:t>天津日石润滑油脂有限公司</w:t>
      </w:r>
      <w:r>
        <w:rPr>
          <w:rFonts w:hint="default" w:ascii="Times New Roman" w:hAnsi="Times New Roman" w:eastAsia="仿宋_GB2312" w:cs="Times New Roman"/>
          <w:sz w:val="32"/>
          <w:szCs w:val="32"/>
        </w:rPr>
        <w:t>等</w:t>
      </w:r>
      <w:r>
        <w:rPr>
          <w:rFonts w:hint="default" w:eastAsia="仿宋_GB2312" w:cs="Times New Roman"/>
          <w:sz w:val="32"/>
          <w:szCs w:val="32"/>
          <w:lang w:val="en"/>
        </w:rPr>
        <w:t>65</w:t>
      </w:r>
      <w:r>
        <w:rPr>
          <w:rFonts w:hint="default" w:ascii="Times New Roman" w:hAnsi="Times New Roman" w:eastAsia="仿宋_GB2312" w:cs="Times New Roman"/>
          <w:sz w:val="32"/>
          <w:szCs w:val="32"/>
        </w:rPr>
        <w:t>家企业（</w:t>
      </w:r>
      <w:r>
        <w:rPr>
          <w:rFonts w:hint="default" w:eastAsia="仿宋_GB2312" w:cs="Times New Roman"/>
          <w:sz w:val="32"/>
          <w:szCs w:val="32"/>
          <w:lang w:eastAsia="zh-CN"/>
        </w:rPr>
        <w:t>详情</w:t>
      </w:r>
      <w:r>
        <w:rPr>
          <w:rFonts w:hint="default" w:ascii="Times New Roman" w:hAnsi="Times New Roman" w:eastAsia="仿宋_GB2312" w:cs="Times New Roman"/>
          <w:sz w:val="32"/>
          <w:szCs w:val="32"/>
        </w:rPr>
        <w:t>见附件）为危险化学品从业单位安全生产标准化三级企业（</w:t>
      </w:r>
      <w:r>
        <w:rPr>
          <w:rFonts w:hint="default" w:ascii="Times New Roman" w:hAnsi="Times New Roman" w:eastAsia="仿宋_GB2312" w:cs="Times New Roman"/>
          <w:sz w:val="32"/>
          <w:szCs w:val="32"/>
          <w:lang w:val="en-US" w:eastAsia="zh-CN"/>
        </w:rPr>
        <w:t>202</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现予以</w:t>
      </w:r>
      <w:r>
        <w:rPr>
          <w:rFonts w:hint="default" w:ascii="Times New Roman" w:hAnsi="Times New Roman" w:eastAsia="仿宋_GB2312" w:cs="Times New Roman"/>
          <w:sz w:val="32"/>
          <w:szCs w:val="32"/>
          <w:lang w:eastAsia="zh-CN"/>
        </w:rPr>
        <w:t>通</w:t>
      </w:r>
      <w:r>
        <w:rPr>
          <w:rFonts w:hint="default" w:ascii="Times New Roman" w:hAnsi="Times New Roman" w:eastAsia="仿宋_GB2312" w:cs="Times New Roman"/>
          <w:sz w:val="32"/>
          <w:szCs w:val="32"/>
        </w:rPr>
        <w:t>告，有效期自通告之日起3年。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90" w:leftChars="300" w:right="0" w:hanging="860" w:hangingChars="269"/>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危险化学品从业单位</w:t>
      </w:r>
      <w:r>
        <w:rPr>
          <w:rFonts w:hint="default" w:ascii="Times New Roman" w:hAnsi="Times New Roman" w:eastAsia="仿宋_GB2312" w:cs="Times New Roman"/>
          <w:sz w:val="32"/>
          <w:szCs w:val="32"/>
        </w:rPr>
        <w:t>安全生产标准化</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级企业名单（</w:t>
      </w:r>
      <w:r>
        <w:rPr>
          <w:rFonts w:hint="default" w:ascii="Times New Roman" w:hAnsi="Times New Roman" w:eastAsia="仿宋_GB2312" w:cs="Times New Roman"/>
          <w:spacing w:val="0"/>
          <w:sz w:val="32"/>
          <w:szCs w:val="32"/>
          <w:shd w:val="clear" w:color="auto" w:fill="FFFFFF"/>
        </w:rPr>
        <w:t>202</w:t>
      </w:r>
      <w:r>
        <w:rPr>
          <w:rFonts w:hint="eastAsia" w:eastAsia="仿宋_GB2312" w:cs="Times New Roman"/>
          <w:spacing w:val="0"/>
          <w:sz w:val="32"/>
          <w:szCs w:val="32"/>
          <w:shd w:val="clear" w:color="auto" w:fill="FFFFFF"/>
          <w:lang w:val="en-US" w:eastAsia="zh-CN"/>
        </w:rPr>
        <w:t>5</w:t>
      </w:r>
      <w:r>
        <w:rPr>
          <w:rFonts w:hint="default" w:ascii="Times New Roman" w:hAnsi="Times New Roman" w:eastAsia="仿宋_GB2312" w:cs="Times New Roman"/>
          <w:spacing w:val="0"/>
          <w:sz w:val="32"/>
          <w:szCs w:val="32"/>
          <w:shd w:val="clear" w:color="auto" w:fill="FFFFFF"/>
        </w:rPr>
        <w:t>年</w:t>
      </w: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rFonts w:hint="eastAsia" w:eastAsia="仿宋_GB2312" w:cs="Times New Roman"/>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天津市滨海新区应急管理局</w:t>
      </w:r>
      <w:r>
        <w:rPr>
          <w:rFonts w:hint="eastAsia" w:eastAsia="仿宋_GB2312" w:cs="Times New Roman"/>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outlineLvl w:val="9"/>
        <w:rPr>
          <w:rFonts w:hint="eastAsia"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eastAsia="仿宋_GB2312" w:cs="Times New Roman"/>
          <w:sz w:val="32"/>
          <w:szCs w:val="32"/>
          <w:lang w:eastAsia="zh-CN"/>
        </w:rPr>
        <w:t>杨倩</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
        </w:rPr>
        <w:t>022-</w:t>
      </w:r>
      <w:r>
        <w:rPr>
          <w:rFonts w:hint="default" w:ascii="Times New Roman" w:hAnsi="Times New Roman" w:eastAsia="仿宋_GB2312" w:cs="Times New Roman"/>
          <w:spacing w:val="0"/>
          <w:sz w:val="32"/>
          <w:szCs w:val="32"/>
          <w:shd w:val="clear" w:color="auto" w:fill="FFFFFF"/>
          <w:lang w:val="en-US" w:eastAsia="zh-CN"/>
        </w:rPr>
        <w:t>6</w:t>
      </w:r>
      <w:r>
        <w:rPr>
          <w:rFonts w:hint="eastAsia" w:eastAsia="仿宋_GB2312" w:cs="Times New Roman"/>
          <w:spacing w:val="0"/>
          <w:sz w:val="32"/>
          <w:szCs w:val="32"/>
          <w:shd w:val="clear" w:color="auto" w:fill="FFFFFF"/>
          <w:lang w:val="en-US" w:eastAsia="zh-CN"/>
        </w:rPr>
        <w:t>3004194</w:t>
      </w:r>
      <w:r>
        <w:rPr>
          <w:rFonts w:hint="default" w:ascii="Times New Roman" w:hAnsi="Times New Roman" w:eastAsia="仿宋_GB2312"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（此件主动公开）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eastAsia="仿宋_GB2312" w:cs="Times New Roman"/>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eastAsia="仿宋_GB2312" w:cs="Times New Roman"/>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eastAsia="仿宋_GB2312" w:cs="Times New Roman"/>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eastAsia="仿宋_GB2312" w:cs="Times New Roman"/>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auto"/>
        <w:rPr>
          <w:rFonts w:hint="default" w:ascii="Times New Roman" w:hAnsi="Times New Roman" w:cs="Times New Roman"/>
          <w:sz w:val="32"/>
          <w:szCs w:val="32"/>
        </w:rPr>
      </w:pPr>
      <w:r>
        <w:rPr>
          <w:rFonts w:hint="eastAsia" w:ascii="黑体" w:hAnsi="宋体" w:eastAsia="黑体" w:cs="黑体"/>
          <w:sz w:val="32"/>
          <w:szCs w:val="32"/>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危险化学品从业单位</w:t>
      </w:r>
      <w:r>
        <w:rPr>
          <w:rFonts w:hint="eastAsia" w:ascii="方正小标宋简体" w:hAnsi="方正小标宋简体" w:eastAsia="方正小标宋简体" w:cs="方正小标宋简体"/>
          <w:sz w:val="44"/>
          <w:szCs w:val="44"/>
        </w:rPr>
        <w:t>安全生产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default" w:ascii="Times New Roman" w:hAnsi="Times New Roman" w:cs="Times New Roman"/>
          <w:sz w:val="44"/>
          <w:szCs w:val="44"/>
        </w:rPr>
      </w:pPr>
      <w:r>
        <w:rPr>
          <w:rFonts w:hint="eastAsia" w:ascii="方正小标宋简体" w:hAnsi="方正小标宋简体" w:eastAsia="方正小标宋简体" w:cs="方正小标宋简体"/>
          <w:sz w:val="44"/>
          <w:szCs w:val="44"/>
        </w:rPr>
        <w:t>标准化</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级企业名单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批）</w:t>
      </w:r>
    </w:p>
    <w:tbl>
      <w:tblPr>
        <w:tblStyle w:val="9"/>
        <w:tblpPr w:leftFromText="180" w:rightFromText="180" w:vertAnchor="text" w:horzAnchor="page" w:tblpX="1715" w:tblpY="690"/>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61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832" w:type="dxa"/>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highlight w:val="none"/>
                <w:shd w:val="clear" w:color="auto" w:fill="FFFFFF"/>
              </w:rPr>
            </w:pPr>
            <w:r>
              <w:rPr>
                <w:rFonts w:hint="eastAsia" w:ascii="方正黑体_GBK" w:hAnsi="方正黑体_GBK" w:eastAsia="方正黑体_GBK" w:cs="方正黑体_GBK"/>
                <w:spacing w:val="0"/>
                <w:sz w:val="28"/>
                <w:szCs w:val="28"/>
                <w:highlight w:val="none"/>
                <w:shd w:val="clear" w:color="auto" w:fill="FFFFFF"/>
              </w:rPr>
              <w:t>序号</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highlight w:val="none"/>
                <w:shd w:val="clear" w:color="auto" w:fill="FFFFFF"/>
              </w:rPr>
            </w:pPr>
            <w:r>
              <w:rPr>
                <w:rFonts w:hint="eastAsia" w:ascii="方正黑体_GBK" w:hAnsi="方正黑体_GBK" w:eastAsia="方正黑体_GBK" w:cs="方正黑体_GBK"/>
                <w:spacing w:val="0"/>
                <w:sz w:val="28"/>
                <w:szCs w:val="28"/>
                <w:highlight w:val="none"/>
                <w:shd w:val="clear" w:color="auto" w:fill="FFFFFF"/>
              </w:rPr>
              <w:t>企业名称</w:t>
            </w:r>
          </w:p>
        </w:tc>
        <w:tc>
          <w:tcPr>
            <w:tcW w:w="17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highlight w:val="none"/>
                <w:shd w:val="clear" w:color="auto" w:fill="FFFFFF"/>
              </w:rPr>
            </w:pPr>
            <w:r>
              <w:rPr>
                <w:rFonts w:hint="eastAsia" w:ascii="方正黑体_GBK" w:hAnsi="方正黑体_GBK" w:eastAsia="方正黑体_GBK" w:cs="方正黑体_GBK"/>
                <w:spacing w:val="0"/>
                <w:sz w:val="28"/>
                <w:szCs w:val="28"/>
                <w:highlight w:val="none"/>
                <w:shd w:val="clear" w:color="auto" w:fill="FFFFFF"/>
              </w:rPr>
              <w:t>行业类型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1</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天津日石润滑油脂有限公司</w:t>
            </w:r>
          </w:p>
        </w:tc>
        <w:tc>
          <w:tcPr>
            <w:tcW w:w="17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2</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中国石化销售股份有限公司天津石油分公司滨海新滨加油站</w:t>
            </w:r>
          </w:p>
        </w:tc>
        <w:tc>
          <w:tcPr>
            <w:tcW w:w="17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3</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中国石化销售股份有限公司天津石油分公司滨海新港路加油站</w:t>
            </w:r>
          </w:p>
        </w:tc>
        <w:tc>
          <w:tcPr>
            <w:tcW w:w="17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4</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中国石化销售股份有限公司天津石油分公司大港金角加油站</w:t>
            </w:r>
          </w:p>
        </w:tc>
        <w:tc>
          <w:tcPr>
            <w:tcW w:w="1710" w:type="dxa"/>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5</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中石化新海湾（天津）成品油销售有限公司滨海新区胡家园加油站</w:t>
            </w:r>
          </w:p>
        </w:tc>
        <w:tc>
          <w:tcPr>
            <w:tcW w:w="1710" w:type="dxa"/>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6</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中国石化销售股份有限公司天津石油分公司上海道加油站</w:t>
            </w:r>
          </w:p>
        </w:tc>
        <w:tc>
          <w:tcPr>
            <w:tcW w:w="1710" w:type="dxa"/>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7</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中国石化销售股份有限公司天津石油分公司滨海新区轻纺大道加油加气站</w:t>
            </w:r>
          </w:p>
        </w:tc>
        <w:tc>
          <w:tcPr>
            <w:tcW w:w="1710" w:type="dxa"/>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rPr>
            </w:pPr>
            <w:r>
              <w:rPr>
                <w:rFonts w:hint="eastAsia" w:ascii="仿宋_GB2312" w:hAnsi="仿宋_GB2312" w:eastAsia="仿宋_GB2312" w:cs="仿宋_GB2312"/>
                <w:spacing w:val="0"/>
                <w:sz w:val="28"/>
                <w:szCs w:val="28"/>
                <w:highlight w:val="none"/>
                <w:shd w:val="clear" w:color="auto" w:fill="FFFFFF"/>
              </w:rPr>
              <w:t>8</w:t>
            </w:r>
          </w:p>
        </w:tc>
        <w:tc>
          <w:tcPr>
            <w:tcW w:w="6110" w:type="dxa"/>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天津港石石化加油站有限公司</w:t>
            </w:r>
          </w:p>
        </w:tc>
        <w:tc>
          <w:tcPr>
            <w:tcW w:w="1710" w:type="dxa"/>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9</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中国石化销售股份有限公司天津石油分公司大港长虹加油站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10</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中国石化销售股份有限公司天津石油分公司大港津歧路加油站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11</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中国石化销售股份有限公司天津石油分公司滨海新北加油站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12</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中国石化销售股份有限公司天津石油分公司新华路加油站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13</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中国石化销售股份有限公司天津石油分公司滨海四号路加油站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14</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中国石化销售股份有限公司天津石油分公司汉沽新开北路加油站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15</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中国石化销售股份有限公司天津石油分公司大港太平村加油站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16</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天津涧河加油站有限公司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17</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中国石化销售股份有限公司天津石油分公司汉沽芦汉路加油站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18</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中国石化销售股份有限公司天津石油分公司滨海金港南疆加油站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19</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中国石化销售股份有限公司天津石油分公司滨海临港桥加油站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20</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b w:val="0"/>
                <w:bCs w:val="0"/>
                <w:color w:val="auto"/>
                <w:spacing w:val="0"/>
                <w:sz w:val="28"/>
                <w:szCs w:val="28"/>
                <w:highlight w:val="none"/>
                <w:shd w:val="clear" w:color="auto" w:fill="FFFFFF"/>
                <w:lang w:val="en-US" w:eastAsia="zh-CN"/>
              </w:rPr>
              <w:t>天津海晶石油销售有限公司中天路加油站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21</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天津德海石油制品销售有限责任公司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22</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天津德海石油制品销售有限责任公司跃进路加油站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23</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天津自贸试验区宏业石油制品经营部</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24</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中国石油天然气股份有限公司天津销售分公司中津大道加油站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25</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中国石油天然气股份有限公司天津销售分公司汉沽东海加油站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26</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中国石油天然气股份有限公司天津销售分公司中生加油站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27</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天津港新香料有限公司</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28</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天津捷美加油站有限责任公司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29</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中国石油天然气股份有限公司天津销售分公司汉沽汉通加油站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30</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中国石油天然气股份有限公司天津销售分公司塘沽永兴加油站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31</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天津捷德玖隆里加油站有限公司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32</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中国石油天然气股份有限公司天津销售分公司汉沽金华加油站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33</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中国石油天然气股份有限公司天津销售分公司汉沽文化街加油站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34</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中国石油天然气股份有限公司天津销售分公司汉沽汉宇加油站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35</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中国石化销售股份有限公司天津石油分公司大港小王庄加油站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36</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中国石化销售股份有限公司天津石油分公司大港港中路加油站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37</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中国石油天然气股份有限公司天津销售分公司塘沽东沽加油站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38</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天津浩伦气体有限公司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39</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天津市滨海新区塘沽光大加油站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40</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永泰运（天津）化工物流有限公司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41</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天津炼达集团有限公司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42</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天津壳牌石油储运有限公司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43</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天津中油滨海石油销售有限公司海滨大道蔡家堡入口加油站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44</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天津市滨海新区塘沽陈圈加油站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45</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中化国际石油（天津）有限公司滨海新区福州道加油加气站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46</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天津市港塘燃气销售有限公司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47</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中国石化销售股份有限公司天津石油分公司大港好运加油站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48</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中国石化销售股份有限公司天津石油分公司大港港塘路加油站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49</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中国石化销售股份有限公司天津石油分公司汉沽茶淀西加油站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50</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中国石化销售股份有限公司天津石油分公司滨海航四加油站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51</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中国石化销售股份有限公司天津石油分公司滨海轻纺园加油站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52</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天津市滨海新区塘沽中心桥加油站有限公司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53</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中国石化销售股份有限公司天津石油分公司汉沽津汉路加油站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54</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天津市东旭物流有限公司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55</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空气产品（天津）有限公司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 w:eastAsia="zh-CN"/>
              </w:rPr>
            </w:pPr>
            <w:r>
              <w:rPr>
                <w:rFonts w:hint="default" w:ascii="仿宋_GB2312" w:hAnsi="仿宋_GB2312" w:eastAsia="仿宋_GB2312" w:cs="仿宋_GB2312"/>
                <w:spacing w:val="0"/>
                <w:sz w:val="28"/>
                <w:szCs w:val="28"/>
                <w:highlight w:val="none"/>
                <w:shd w:val="clear" w:color="auto" w:fill="FFFFFF"/>
                <w:lang w:val="en" w:eastAsia="zh-CN"/>
              </w:rPr>
              <w:t>56</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康龙化成（天津）药物制备技术有限公司</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57</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天津市驰隆化工有限公司</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58</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中国石化销售股份有限公司天津石油分公司滨海新城加油站</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59</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中国石化销售股份有限公司天津石油分公司滨海新胡路加油站</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60</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color w:val="auto"/>
                <w:spacing w:val="0"/>
                <w:sz w:val="28"/>
                <w:szCs w:val="28"/>
                <w:highlight w:val="none"/>
                <w:shd w:val="clear" w:color="auto" w:fill="FFFFFF"/>
                <w:lang w:val="en-US" w:eastAsia="zh-CN"/>
              </w:rPr>
              <w:t>中国石化销售股份有限公司天津石油分公司汉沽杨家泊上行加油站</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61</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spacing w:val="0"/>
                <w:kern w:val="0"/>
                <w:sz w:val="28"/>
                <w:szCs w:val="28"/>
                <w:highlight w:val="none"/>
                <w:shd w:val="clear" w:color="auto" w:fill="FFFFFF"/>
                <w:lang w:val="en-US" w:eastAsia="zh-CN" w:bidi="ar"/>
              </w:rPr>
            </w:pPr>
            <w:r>
              <w:rPr>
                <w:rFonts w:hint="eastAsia" w:ascii="仿宋_GB2312" w:hAnsi="仿宋_GB2312" w:eastAsia="仿宋_GB2312" w:cs="仿宋_GB2312"/>
                <w:spacing w:val="0"/>
                <w:sz w:val="28"/>
                <w:szCs w:val="28"/>
                <w:highlight w:val="none"/>
                <w:shd w:val="clear" w:color="auto" w:fill="FFFFFF"/>
                <w:lang w:val="en-US" w:eastAsia="zh-CN"/>
              </w:rPr>
              <w:t>中国石化销售股份有限公司天津石油分公司大港津港路加油站</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highlight w:val="none"/>
                <w:shd w:val="clear" w:color="auto" w:fill="FFFFFF"/>
                <w:lang w:val="en-US" w:eastAsia="zh-CN"/>
              </w:rPr>
            </w:pPr>
            <w:r>
              <w:rPr>
                <w:rFonts w:hint="eastAsia" w:ascii="仿宋_GB2312" w:hAnsi="仿宋_GB2312" w:eastAsia="仿宋_GB2312" w:cs="仿宋_GB2312"/>
                <w:spacing w:val="0"/>
                <w:sz w:val="28"/>
                <w:szCs w:val="28"/>
                <w:highlight w:val="none"/>
                <w:shd w:val="clear" w:color="auto" w:fill="FFFFFF"/>
                <w:lang w:val="en-US" w:eastAsia="zh-CN"/>
              </w:rPr>
              <w:t>62</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color w:val="auto"/>
                <w:spacing w:val="0"/>
                <w:sz w:val="28"/>
                <w:szCs w:val="28"/>
                <w:highlight w:val="none"/>
                <w:shd w:val="clear" w:color="auto" w:fill="FFFFFF"/>
                <w:lang w:val="en-US" w:eastAsia="zh-CN"/>
              </w:rPr>
              <w:t>龙蟠润滑新材料（天津）有限公司</w:t>
            </w:r>
          </w:p>
        </w:tc>
        <w:tc>
          <w:tcPr>
            <w:tcW w:w="171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63</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中国石化销售股份有限公司天津石油分公司滨海十四号桥加油站</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64</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中国石化销售股份有限公司天津石油分公司汉沽杨家泊下行加油站</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3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65</w:t>
            </w:r>
          </w:p>
        </w:tc>
        <w:tc>
          <w:tcPr>
            <w:tcW w:w="61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辰光（天津）制药有限公司</w:t>
            </w:r>
          </w:p>
        </w:tc>
        <w:tc>
          <w:tcPr>
            <w:tcW w:w="171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pacing w:val="0"/>
                <w:sz w:val="28"/>
                <w:szCs w:val="28"/>
                <w:highlight w:val="none"/>
                <w:shd w:val="clear" w:color="auto" w:fill="FFFFFF"/>
                <w:lang w:val="en-US" w:eastAsia="zh-CN"/>
              </w:rPr>
            </w:pPr>
            <w:r>
              <w:rPr>
                <w:rFonts w:hint="eastAsia" w:ascii="仿宋_GB2312" w:hAnsi="仿宋_GB2312" w:eastAsia="仿宋_GB2312" w:cs="仿宋_GB2312"/>
                <w:color w:val="auto"/>
                <w:spacing w:val="0"/>
                <w:sz w:val="28"/>
                <w:szCs w:val="28"/>
                <w:highlight w:val="none"/>
                <w:shd w:val="clear" w:color="auto" w:fill="FFFFFF"/>
                <w:lang w:val="en-US" w:eastAsia="zh-CN"/>
              </w:rPr>
              <w:t>医药</w:t>
            </w:r>
          </w:p>
        </w:tc>
      </w:tr>
    </w:tbl>
    <w:p>
      <w:pPr>
        <w:rPr>
          <w:rFonts w:hint="eastAsia" w:ascii="仿宋_GB2312" w:hAnsi="仿宋" w:eastAsia="仿宋_GB2312"/>
          <w:sz w:val="28"/>
          <w:szCs w:val="28"/>
        </w:rPr>
      </w:pPr>
    </w:p>
    <w:bookmarkEnd w:id="0"/>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Ubuntu"/>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53"/>
    <w:rsid w:val="00072C11"/>
    <w:rsid w:val="001529E0"/>
    <w:rsid w:val="001B29B7"/>
    <w:rsid w:val="0021013E"/>
    <w:rsid w:val="0021439C"/>
    <w:rsid w:val="00277605"/>
    <w:rsid w:val="002B2069"/>
    <w:rsid w:val="002C00B7"/>
    <w:rsid w:val="003C3C26"/>
    <w:rsid w:val="00480DBD"/>
    <w:rsid w:val="005435EB"/>
    <w:rsid w:val="00555596"/>
    <w:rsid w:val="00652849"/>
    <w:rsid w:val="006E033B"/>
    <w:rsid w:val="00742EAA"/>
    <w:rsid w:val="00771395"/>
    <w:rsid w:val="00886292"/>
    <w:rsid w:val="008C16D0"/>
    <w:rsid w:val="0096674F"/>
    <w:rsid w:val="009C7796"/>
    <w:rsid w:val="00AF5B52"/>
    <w:rsid w:val="00B5540C"/>
    <w:rsid w:val="00B814C4"/>
    <w:rsid w:val="00B97988"/>
    <w:rsid w:val="00CA153A"/>
    <w:rsid w:val="00D0243A"/>
    <w:rsid w:val="00D03529"/>
    <w:rsid w:val="00D313C8"/>
    <w:rsid w:val="00F958C3"/>
    <w:rsid w:val="00FB6772"/>
    <w:rsid w:val="4ABF21AE"/>
    <w:rsid w:val="4F7EF2BE"/>
    <w:rsid w:val="77D27917"/>
    <w:rsid w:val="7FFE58D8"/>
    <w:rsid w:val="8B9F26AE"/>
    <w:rsid w:val="C7F24343"/>
    <w:rsid w:val="CF7CB856"/>
    <w:rsid w:val="F1F9731B"/>
    <w:rsid w:val="F97E3C41"/>
    <w:rsid w:val="FE7F1181"/>
    <w:rsid w:val="FF4B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lang w:val="zh-CN"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link w:val="17"/>
    <w:qFormat/>
    <w:uiPriority w:val="0"/>
    <w:pPr>
      <w:spacing w:before="240" w:after="60"/>
      <w:jc w:val="center"/>
      <w:outlineLvl w:val="0"/>
    </w:pPr>
    <w:rPr>
      <w:rFonts w:ascii="Cambria" w:hAnsi="Cambria"/>
      <w:b/>
      <w:bCs/>
      <w:sz w:val="32"/>
      <w:szCs w:val="32"/>
      <w:lang w:val="zh-CN" w:eastAsia="zh-CN"/>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已访问的超链接1"/>
    <w:qFormat/>
    <w:uiPriority w:val="0"/>
    <w:rPr>
      <w:color w:val="800080"/>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标题 Char"/>
    <w:link w:val="8"/>
    <w:qFormat/>
    <w:uiPriority w:val="0"/>
    <w:rPr>
      <w:rFonts w:ascii="Cambria" w:hAnsi="Cambria"/>
      <w:b/>
      <w:bCs/>
      <w:kern w:val="2"/>
      <w:sz w:val="32"/>
      <w:szCs w:val="32"/>
      <w:lang w:val="zh-CN" w:eastAsia="zh-CN"/>
    </w:rPr>
  </w:style>
  <w:style w:type="character" w:customStyle="1" w:styleId="18">
    <w:name w:val="页脚 Char"/>
    <w:link w:val="5"/>
    <w:qFormat/>
    <w:uiPriority w:val="99"/>
    <w:rPr>
      <w:kern w:val="2"/>
      <w:sz w:val="18"/>
      <w:szCs w:val="18"/>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Words>
  <Characters>63</Characters>
  <Lines>1</Lines>
  <Paragraphs>1</Paragraphs>
  <TotalTime>9</TotalTime>
  <ScaleCrop>false</ScaleCrop>
  <LinksUpToDate>false</LinksUpToDate>
  <CharactersWithSpaces>72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2020-10-22T17:22:00Z</dcterms:created>
  <dc:creator>张殿武</dc:creator>
  <cp:lastModifiedBy>kylin</cp:lastModifiedBy>
  <cp:lastPrinted>2025-06-07T01:57:00Z</cp:lastPrinted>
  <dcterms:modified xsi:type="dcterms:W3CDTF">2025-06-05T17:30:38Z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